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E46867" w14:textId="1462FFE8" w:rsidR="00F36391" w:rsidRDefault="00386EC8"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386EC8">
        <w:rPr>
          <w:rFonts w:ascii="inherit" w:eastAsia="Times New Roman" w:hAnsi="inherit" w:cs="Times New Roman"/>
          <w:b/>
          <w:bCs/>
          <w:color w:val="000000"/>
          <w:sz w:val="29"/>
          <w:szCs w:val="29"/>
          <w:bdr w:val="none" w:sz="0" w:space="0" w:color="auto" w:frame="1"/>
        </w:rPr>
        <w:t xml:space="preserve">Submit your response to the following question.  Briefly discuss Barriers and Benefits of Implementing the Inclusion Approach at Level 2 and its interconnectivity to Diversity - specifically within the </w:t>
      </w:r>
      <w:proofErr w:type="gramStart"/>
      <w:r w:rsidRPr="00386EC8">
        <w:rPr>
          <w:rFonts w:ascii="inherit" w:eastAsia="Times New Roman" w:hAnsi="inherit" w:cs="Times New Roman"/>
          <w:b/>
          <w:bCs/>
          <w:color w:val="000000"/>
          <w:sz w:val="29"/>
          <w:szCs w:val="29"/>
          <w:bdr w:val="none" w:sz="0" w:space="0" w:color="auto" w:frame="1"/>
        </w:rPr>
        <w:t>workplace .</w:t>
      </w:r>
      <w:proofErr w:type="gramEnd"/>
      <w:r w:rsidRPr="00386EC8">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386EC8">
        <w:rPr>
          <w:rFonts w:ascii="inherit" w:eastAsia="Times New Roman" w:hAnsi="inherit" w:cs="Times New Roman"/>
          <w:b/>
          <w:bCs/>
          <w:color w:val="000000"/>
          <w:sz w:val="29"/>
          <w:szCs w:val="29"/>
          <w:bdr w:val="none" w:sz="0" w:space="0" w:color="auto" w:frame="1"/>
        </w:rPr>
        <w:t>7 sentence</w:t>
      </w:r>
      <w:proofErr w:type="gramEnd"/>
      <w:r w:rsidRPr="00386EC8">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3500361B" w14:textId="77777777" w:rsidR="00386EC8" w:rsidRDefault="00386EC8"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E117330" w14:textId="77777777" w:rsidR="00276AB5" w:rsidRDefault="00276AB5"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02C09247" w14:textId="77777777" w:rsidR="00386EC8" w:rsidRPr="00386EC8" w:rsidRDefault="00386EC8" w:rsidP="00386EC8">
      <w:pPr>
        <w:spacing w:after="0" w:line="240" w:lineRule="auto"/>
        <w:ind w:right="45"/>
        <w:outlineLvl w:val="2"/>
        <w:rPr>
          <w:rFonts w:ascii="inherit" w:eastAsia="Times New Roman" w:hAnsi="inherit" w:cs="Times New Roman"/>
          <w:b/>
          <w:bCs/>
          <w:color w:val="111111"/>
          <w:sz w:val="29"/>
          <w:szCs w:val="29"/>
        </w:rPr>
      </w:pPr>
      <w:r w:rsidRPr="00386EC8">
        <w:rPr>
          <w:rFonts w:ascii="inherit" w:eastAsia="Times New Roman" w:hAnsi="inherit" w:cs="Times New Roman"/>
          <w:b/>
          <w:bCs/>
          <w:color w:val="000000"/>
          <w:sz w:val="29"/>
          <w:szCs w:val="29"/>
          <w:bdr w:val="none" w:sz="0" w:space="0" w:color="auto" w:frame="1"/>
        </w:rPr>
        <w:t>Chapter 14: The Inclusive Workplace—Level II Inclusion through Corporate-Community Collaborations</w:t>
      </w:r>
      <w:r w:rsidRPr="00386EC8">
        <w:rPr>
          <w:rFonts w:ascii="inherit" w:eastAsia="Times New Roman" w:hAnsi="inherit" w:cs="Times New Roman"/>
          <w:b/>
          <w:bCs/>
          <w:color w:val="111111"/>
          <w:sz w:val="29"/>
          <w:szCs w:val="29"/>
        </w:rPr>
        <w:t xml:space="preserve"> </w:t>
      </w:r>
    </w:p>
    <w:p w14:paraId="30B85787"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 xml:space="preserve">Chapter Overview </w:t>
      </w:r>
    </w:p>
    <w:p w14:paraId="2B02B68E"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proofErr w:type="gramStart"/>
      <w:r w:rsidRPr="00386EC8">
        <w:rPr>
          <w:rFonts w:ascii="&amp;quot" w:eastAsia="Times New Roman" w:hAnsi="&amp;quot" w:cs="Times New Roman"/>
          <w:color w:val="111111"/>
          <w:sz w:val="24"/>
          <w:szCs w:val="24"/>
          <w:bdr w:val="none" w:sz="0" w:space="0" w:color="auto" w:frame="1"/>
        </w:rPr>
        <w:t xml:space="preserve">The second level of the Inclusive Workplace, </w:t>
      </w:r>
      <w:r w:rsidRPr="00386EC8">
        <w:rPr>
          <w:rFonts w:ascii="&amp;quot" w:eastAsia="Times New Roman" w:hAnsi="&amp;quot" w:cs="Times New Roman"/>
          <w:b/>
          <w:bCs/>
          <w:i/>
          <w:iCs/>
          <w:color w:val="111111"/>
          <w:sz w:val="24"/>
          <w:szCs w:val="24"/>
          <w:bdr w:val="none" w:sz="0" w:space="0" w:color="auto" w:frame="1"/>
        </w:rPr>
        <w:t>inclusion and corporate-community collaborations,</w:t>
      </w:r>
      <w:proofErr w:type="gramEnd"/>
      <w:r w:rsidRPr="00386EC8">
        <w:rPr>
          <w:rFonts w:ascii="&amp;quot" w:eastAsia="Times New Roman" w:hAnsi="&amp;quot" w:cs="Times New Roman"/>
          <w:color w:val="111111"/>
          <w:sz w:val="24"/>
          <w:szCs w:val="24"/>
          <w:bdr w:val="none" w:sz="0" w:space="0" w:color="auto" w:frame="1"/>
        </w:rPr>
        <w:t xml:space="preserve"> relates to the organization’s sense of being a part of its surrounding community and the reciprocity embedded in this relationship. It reflects the “mezzo” system level of organizations and communities. An exclusionary workplace sees minimal or no connection to its community. An inclusive workplace, on the other hand, recognizes the economic and non-economic consequences of its presence in the community. It acknowledges the responsibility it </w:t>
      </w:r>
      <w:proofErr w:type="gramStart"/>
      <w:r w:rsidRPr="00386EC8">
        <w:rPr>
          <w:rFonts w:ascii="&amp;quot" w:eastAsia="Times New Roman" w:hAnsi="&amp;quot" w:cs="Times New Roman"/>
          <w:color w:val="111111"/>
          <w:sz w:val="24"/>
          <w:szCs w:val="24"/>
          <w:bdr w:val="none" w:sz="0" w:space="0" w:color="auto" w:frame="1"/>
        </w:rPr>
        <w:t>has to</w:t>
      </w:r>
      <w:proofErr w:type="gramEnd"/>
      <w:r w:rsidRPr="00386EC8">
        <w:rPr>
          <w:rFonts w:ascii="&amp;quot" w:eastAsia="Times New Roman" w:hAnsi="&amp;quot" w:cs="Times New Roman"/>
          <w:color w:val="111111"/>
          <w:sz w:val="24"/>
          <w:szCs w:val="24"/>
          <w:bdr w:val="none" w:sz="0" w:space="0" w:color="auto" w:frame="1"/>
        </w:rPr>
        <w:t xml:space="preserve"> ameliorate the adverse effects of this presence and to make a positive contribution to the community’s well-being. </w:t>
      </w:r>
    </w:p>
    <w:p w14:paraId="22222E45"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Corporate Social Performance.</w:t>
      </w:r>
      <w:r w:rsidRPr="00386EC8">
        <w:rPr>
          <w:rFonts w:ascii="&amp;quot" w:eastAsia="Times New Roman" w:hAnsi="&amp;quot" w:cs="Times New Roman"/>
          <w:color w:val="111111"/>
          <w:sz w:val="24"/>
          <w:szCs w:val="24"/>
          <w:bdr w:val="none" w:sz="0" w:space="0" w:color="auto" w:frame="1"/>
        </w:rPr>
        <w:t xml:space="preserve"> An emerging construct in the business literature is that of </w:t>
      </w:r>
      <w:r w:rsidRPr="00386EC8">
        <w:rPr>
          <w:rFonts w:ascii="&amp;quot" w:eastAsia="Times New Roman" w:hAnsi="&amp;quot" w:cs="Times New Roman"/>
          <w:i/>
          <w:iCs/>
          <w:color w:val="111111"/>
          <w:sz w:val="24"/>
          <w:szCs w:val="24"/>
          <w:bdr w:val="none" w:sz="0" w:space="0" w:color="auto" w:frame="1"/>
        </w:rPr>
        <w:t>corporate social performance (CSP)</w:t>
      </w:r>
      <w:r w:rsidRPr="00386EC8">
        <w:rPr>
          <w:rFonts w:ascii="&amp;quot" w:eastAsia="Times New Roman" w:hAnsi="&amp;quot" w:cs="Times New Roman"/>
          <w:color w:val="111111"/>
          <w:sz w:val="24"/>
          <w:szCs w:val="24"/>
          <w:bdr w:val="none" w:sz="0" w:space="0" w:color="auto" w:frame="1"/>
        </w:rPr>
        <w:t>, currently used as one of the criteria to assess Fortune 500’s most admired companies. Another commonly used term is co</w:t>
      </w:r>
      <w:r w:rsidRPr="00386EC8">
        <w:rPr>
          <w:rFonts w:ascii="&amp;quot" w:eastAsia="Times New Roman" w:hAnsi="&amp;quot" w:cs="Times New Roman"/>
          <w:i/>
          <w:iCs/>
          <w:color w:val="111111"/>
          <w:sz w:val="24"/>
          <w:szCs w:val="24"/>
          <w:bdr w:val="none" w:sz="0" w:space="0" w:color="auto" w:frame="1"/>
        </w:rPr>
        <w:t>rporate social responsibility (CSR)</w:t>
      </w:r>
      <w:r w:rsidRPr="00386EC8">
        <w:rPr>
          <w:rFonts w:ascii="&amp;quot" w:eastAsia="Times New Roman" w:hAnsi="&amp;quot" w:cs="Times New Roman"/>
          <w:color w:val="111111"/>
          <w:sz w:val="24"/>
          <w:szCs w:val="24"/>
          <w:bdr w:val="none" w:sz="0" w:space="0" w:color="auto" w:frame="1"/>
        </w:rPr>
        <w:t xml:space="preserve">. Both constructs expand a company’s responsibilities beyond its traditional economic shareholders to that of multiple stakeholders, including the community. </w:t>
      </w:r>
    </w:p>
    <w:p w14:paraId="1455C7E3" w14:textId="77777777" w:rsidR="00386EC8" w:rsidRPr="00386EC8" w:rsidRDefault="00386EC8" w:rsidP="00386EC8">
      <w:pPr>
        <w:spacing w:after="0" w:line="240" w:lineRule="auto"/>
        <w:ind w:right="-45"/>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The constructs of CSP and CSR include more than just the corporate-community collaborations referred to in this level of the inclusive workplace. They apply to a whole host of activities that are socially beneficial </w:t>
      </w:r>
      <w:proofErr w:type="gramStart"/>
      <w:r w:rsidRPr="00386EC8">
        <w:rPr>
          <w:rFonts w:ascii="&amp;quot" w:eastAsia="Times New Roman" w:hAnsi="&amp;quot" w:cs="Times New Roman"/>
          <w:color w:val="111111"/>
          <w:sz w:val="24"/>
          <w:szCs w:val="24"/>
          <w:bdr w:val="none" w:sz="0" w:space="0" w:color="auto" w:frame="1"/>
        </w:rPr>
        <w:t>and in some respects</w:t>
      </w:r>
      <w:proofErr w:type="gramEnd"/>
      <w:r w:rsidRPr="00386EC8">
        <w:rPr>
          <w:rFonts w:ascii="&amp;quot" w:eastAsia="Times New Roman" w:hAnsi="&amp;quot" w:cs="Times New Roman"/>
          <w:color w:val="111111"/>
          <w:sz w:val="24"/>
          <w:szCs w:val="24"/>
          <w:bdr w:val="none" w:sz="0" w:space="0" w:color="auto" w:frame="1"/>
        </w:rPr>
        <w:t xml:space="preserve"> apply to levels III and IV of the model as well. The notions of corporate social performance and corporate social responsibility stem from the recognition that economic actions of business entities have noneconomic consequences, and that business organizations have an impact on other institutions of society above and beyond their economic sphere. With all this to take into consideration, </w:t>
      </w:r>
      <w:r w:rsidRPr="00386EC8">
        <w:rPr>
          <w:rFonts w:ascii="inherit" w:eastAsia="Times New Roman" w:hAnsi="inherit" w:cs="Times New Roman"/>
          <w:snapToGrid w:val="0"/>
          <w:color w:val="111111"/>
          <w:sz w:val="24"/>
          <w:szCs w:val="24"/>
          <w:bdr w:val="none" w:sz="0" w:space="0" w:color="auto" w:frame="1"/>
        </w:rPr>
        <w:t xml:space="preserve">corporations today do not have the luxury of waiting for government instructions and regulations that would force them into action; the public expects them to be active and proactive in responding to the needs of the community. </w:t>
      </w:r>
    </w:p>
    <w:p w14:paraId="39E2197F"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Inclusive Policies and Practices</w:t>
      </w:r>
    </w:p>
    <w:p w14:paraId="31F8E24C"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Given their economic power, corporations can step in to provide essential resources to groups and communities that would not be otherwise provided by governmental agencies. A wide range of activities fall under the title of CSP, such as supporting educational or cultural institutions in the community, providing mentorship to youth, and tutoring </w:t>
      </w:r>
      <w:r w:rsidRPr="00386EC8">
        <w:rPr>
          <w:rFonts w:ascii="&amp;quot" w:eastAsia="Times New Roman" w:hAnsi="&amp;quot" w:cs="Times New Roman"/>
          <w:color w:val="111111"/>
          <w:sz w:val="24"/>
          <w:szCs w:val="24"/>
          <w:bdr w:val="none" w:sz="0" w:space="0" w:color="auto" w:frame="1"/>
        </w:rPr>
        <w:lastRenderedPageBreak/>
        <w:t xml:space="preserve">children in local schools. See Box 14.1, “A Company’s Community Inclusion Program (Level II)—The Case of Nestle Switzerland).” </w:t>
      </w:r>
    </w:p>
    <w:p w14:paraId="340E4A30"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Barriers and Benefits of Implementing the Inclusive Approach at Level II</w:t>
      </w:r>
    </w:p>
    <w:p w14:paraId="2340DF58"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See Figure 14.2 The Inclusive Workplace Model: Barriers and Benefits for Level II</w:t>
      </w:r>
    </w:p>
    <w:p w14:paraId="0AC4E686"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Barriers</w:t>
      </w:r>
      <w:r w:rsidRPr="00386EC8">
        <w:rPr>
          <w:rFonts w:ascii="&amp;quot" w:eastAsia="Times New Roman" w:hAnsi="&amp;quot" w:cs="Times New Roman"/>
          <w:color w:val="111111"/>
          <w:sz w:val="24"/>
          <w:szCs w:val="24"/>
          <w:bdr w:val="none" w:sz="0" w:space="0" w:color="auto" w:frame="1"/>
        </w:rPr>
        <w:t xml:space="preserve">. The main obstacle to initiating and maintaining activities that benefit the company’s social environment are economic pressures to demonstrate profitability on a short-term basis (e.g., quarterly), which makes it difficult to allocate the money necessary for long-term commitments to social goals. Businesses often perceive the relationship between social responsibility and financial performance as a trade-off. A secondary, but important, barrier is that of finding the right leaders to be champions of such programs, people who command authority and respect in the organization and who can initiate and maintain these activities. Often, even when a commitment has been made and money allocated for a social cause, there is no steady leadership to sustain such an effort beyond the initial stages of excitement and self-congratulations. </w:t>
      </w:r>
    </w:p>
    <w:p w14:paraId="3ECC54F5"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Benefits</w:t>
      </w:r>
      <w:r w:rsidRPr="00386EC8">
        <w:rPr>
          <w:rFonts w:ascii="&amp;quot" w:eastAsia="Times New Roman" w:hAnsi="&amp;quot" w:cs="Times New Roman"/>
          <w:b/>
          <w:bCs/>
          <w:color w:val="111111"/>
          <w:sz w:val="24"/>
          <w:szCs w:val="24"/>
          <w:bdr w:val="none" w:sz="0" w:space="0" w:color="auto" w:frame="1"/>
        </w:rPr>
        <w:t xml:space="preserve">. </w:t>
      </w:r>
      <w:r w:rsidRPr="00386EC8">
        <w:rPr>
          <w:rFonts w:ascii="&amp;quot" w:eastAsia="Times New Roman" w:hAnsi="&amp;quot" w:cs="Times New Roman"/>
          <w:color w:val="111111"/>
          <w:sz w:val="24"/>
          <w:szCs w:val="24"/>
          <w:bdr w:val="none" w:sz="0" w:space="0" w:color="auto" w:frame="1"/>
        </w:rPr>
        <w:t xml:space="preserve">In addition to the moral and ethical importance of such actions, recent research provides evidence that companies draw tangible benefits from socially responsible activities. These include positive benefits such as advantages in recruitment and increased employee as well as financial benefits. There is accumulating empirical evidence for the link between corporate social performance and financial performance. Also, social programs generate good will from employees and customers alike which may result in fewer labor problems and a more favorable customer view of the company’s products. Lastly, </w:t>
      </w:r>
      <w:proofErr w:type="gramStart"/>
      <w:r w:rsidRPr="00386EC8">
        <w:rPr>
          <w:rFonts w:ascii="&amp;quot" w:eastAsia="Times New Roman" w:hAnsi="&amp;quot" w:cs="Times New Roman"/>
          <w:color w:val="111111"/>
          <w:sz w:val="24"/>
          <w:szCs w:val="24"/>
          <w:bdr w:val="none" w:sz="0" w:space="0" w:color="auto" w:frame="1"/>
        </w:rPr>
        <w:t>community oriented</w:t>
      </w:r>
      <w:proofErr w:type="gramEnd"/>
      <w:r w:rsidRPr="00386EC8">
        <w:rPr>
          <w:rFonts w:ascii="&amp;quot" w:eastAsia="Times New Roman" w:hAnsi="&amp;quot" w:cs="Times New Roman"/>
          <w:color w:val="111111"/>
          <w:sz w:val="24"/>
          <w:szCs w:val="24"/>
          <w:bdr w:val="none" w:sz="0" w:space="0" w:color="auto" w:frame="1"/>
        </w:rPr>
        <w:t xml:space="preserve"> programs may bring additional economic benefits by improving the company’s standing with important constituencies such as bankers, investors, and government officials. Reputations have potentially favorable consequences because they enable companies to improve their standing by charging premium prices, and by enhancing their access to capital markets. </w:t>
      </w:r>
    </w:p>
    <w:p w14:paraId="3FE41046" w14:textId="77777777" w:rsidR="00386EC8" w:rsidRPr="00386EC8" w:rsidRDefault="00386EC8" w:rsidP="00386EC8">
      <w:pPr>
        <w:spacing w:after="0" w:line="240" w:lineRule="auto"/>
        <w:ind w:right="12"/>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Social programs generate goodwill from employees and customers which can result in fewer labor problems and more favorable customer views of the company’s products.</w:t>
      </w:r>
    </w:p>
    <w:p w14:paraId="2B511C08"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Community collaboration efforts by the University of Southern California endeared the university in the eyes of the community and in 2000, it was named College of the Year by the </w:t>
      </w:r>
      <w:r w:rsidRPr="00386EC8">
        <w:rPr>
          <w:rFonts w:ascii="&amp;quot" w:eastAsia="Times New Roman" w:hAnsi="&amp;quot" w:cs="Times New Roman"/>
          <w:i/>
          <w:iCs/>
          <w:color w:val="111111"/>
          <w:sz w:val="24"/>
          <w:szCs w:val="24"/>
          <w:bdr w:val="none" w:sz="0" w:space="0" w:color="auto" w:frame="1"/>
        </w:rPr>
        <w:t>Time/Princeton Review College Guide</w:t>
      </w:r>
      <w:r w:rsidRPr="00386EC8">
        <w:rPr>
          <w:rFonts w:ascii="&amp;quot" w:eastAsia="Times New Roman" w:hAnsi="&amp;quot" w:cs="Times New Roman"/>
          <w:color w:val="111111"/>
          <w:sz w:val="24"/>
          <w:szCs w:val="24"/>
          <w:bdr w:val="none" w:sz="0" w:space="0" w:color="auto" w:frame="1"/>
        </w:rPr>
        <w:t xml:space="preserve">. Compared to local Shell gas stations in the greater Los Angeles, California area failed to endear themselves to the local community. In a 1992 urban uprising, most of the Shell gas stations near USC were burned to the ground and the campus of USC itself was spared. </w:t>
      </w:r>
    </w:p>
    <w:p w14:paraId="61AD2723" w14:textId="77777777" w:rsidR="00386EC8" w:rsidRPr="00386EC8" w:rsidRDefault="00386EC8" w:rsidP="00386EC8">
      <w:pPr>
        <w:spacing w:after="0" w:line="240" w:lineRule="auto"/>
        <w:rPr>
          <w:rFonts w:ascii="inherit" w:eastAsia="Times New Roman" w:hAnsi="inherit" w:cs="Times New Roman"/>
          <w:color w:val="111111"/>
          <w:sz w:val="24"/>
          <w:szCs w:val="24"/>
        </w:rPr>
      </w:pPr>
      <w:proofErr w:type="gramStart"/>
      <w:r w:rsidRPr="00386EC8">
        <w:rPr>
          <w:rFonts w:ascii="&amp;quot" w:eastAsia="Times New Roman" w:hAnsi="&amp;quot" w:cs="Times New Roman"/>
          <w:b/>
          <w:bCs/>
          <w:color w:val="111111"/>
          <w:sz w:val="24"/>
          <w:szCs w:val="24"/>
          <w:bdr w:val="none" w:sz="0" w:space="0" w:color="auto" w:frame="1"/>
        </w:rPr>
        <w:t>Continued on</w:t>
      </w:r>
      <w:proofErr w:type="gramEnd"/>
      <w:r w:rsidRPr="00386EC8">
        <w:rPr>
          <w:rFonts w:ascii="&amp;quot" w:eastAsia="Times New Roman" w:hAnsi="&amp;quot" w:cs="Times New Roman"/>
          <w:b/>
          <w:bCs/>
          <w:color w:val="111111"/>
          <w:sz w:val="24"/>
          <w:szCs w:val="24"/>
          <w:bdr w:val="none" w:sz="0" w:space="0" w:color="auto" w:frame="1"/>
        </w:rPr>
        <w:t xml:space="preserve"> the next page…</w:t>
      </w:r>
    </w:p>
    <w:p w14:paraId="4AC34773"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Case Illustration: Level II—Inclusion through Corporate-Community Collaboration Unilever</w:t>
      </w:r>
    </w:p>
    <w:p w14:paraId="4098E988"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Unilever and Palm Oil</w:t>
      </w:r>
      <w:r w:rsidRPr="00386EC8">
        <w:rPr>
          <w:rFonts w:ascii="&amp;quot" w:eastAsia="Times New Roman" w:hAnsi="&amp;quot" w:cs="Times New Roman"/>
          <w:color w:val="111111"/>
          <w:sz w:val="24"/>
          <w:szCs w:val="24"/>
          <w:bdr w:val="none" w:sz="0" w:space="0" w:color="auto" w:frame="1"/>
        </w:rPr>
        <w:t xml:space="preserve">. Unilever has had a long history in the palm oil industry. In the 1850s, when the UK repealed a tax on soap, the lower prices of soap drove William Lever’s entry into the soap business. In 1930, Lever’s UK-based company merged with a Dutch margarine producer to form the Unilever group. Since then, Unilever has evolved into one of the world’s largest consumer goods companies. Unilever specializes in food as well as home and personal care products. </w:t>
      </w:r>
    </w:p>
    <w:p w14:paraId="4543EFAE"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Importance of Palm Oil.</w:t>
      </w:r>
      <w:r w:rsidRPr="00386EC8">
        <w:rPr>
          <w:rFonts w:ascii="&amp;quot" w:eastAsia="Times New Roman" w:hAnsi="&amp;quot" w:cs="Times New Roman"/>
          <w:color w:val="111111"/>
          <w:sz w:val="24"/>
          <w:szCs w:val="24"/>
          <w:bdr w:val="none" w:sz="0" w:space="0" w:color="auto" w:frame="1"/>
        </w:rPr>
        <w:t xml:space="preserve"> Palm oil, derived from the fruit and seeds of the oil palm tree, is one of the more common raw ingredients (e.g., palm oil is found in soap, margarine, snack foods, cosmetics, and cooking oils) that Unilever uses throughout its product line. Palm oil </w:t>
      </w:r>
      <w:r w:rsidRPr="00386EC8">
        <w:rPr>
          <w:rFonts w:ascii="&amp;quot" w:eastAsia="Times New Roman" w:hAnsi="&amp;quot" w:cs="Times New Roman"/>
          <w:color w:val="111111"/>
          <w:sz w:val="24"/>
          <w:szCs w:val="24"/>
          <w:bdr w:val="none" w:sz="0" w:space="0" w:color="auto" w:frame="1"/>
        </w:rPr>
        <w:lastRenderedPageBreak/>
        <w:t xml:space="preserve">offers two major benefits to manufacturers and growers. First, the yield of palm oil is higher than that of any other edible vegetable oil source. Second, the properties of palm oil allow for its use with less processing, saving both time and money. </w:t>
      </w:r>
    </w:p>
    <w:p w14:paraId="5A4EC7EB"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 xml:space="preserve">The Palm Oil Tree Industry. </w:t>
      </w:r>
      <w:r w:rsidRPr="00386EC8">
        <w:rPr>
          <w:rFonts w:ascii="&amp;quot" w:eastAsia="Times New Roman" w:hAnsi="&amp;quot" w:cs="Times New Roman"/>
          <w:color w:val="111111"/>
          <w:sz w:val="24"/>
          <w:szCs w:val="24"/>
          <w:bdr w:val="none" w:sz="0" w:space="0" w:color="auto" w:frame="1"/>
        </w:rPr>
        <w:t xml:space="preserve">Oil palm trees, used to produce palm oil, grow best in wet tropical conditions. Therefore, commercial plantations are usually found in countries within ten degrees of the equator. Although the palm industry originated in Africa, Asia now dominates world production. Malaysia is the world’s largest grower of oil palms, followed by Indonesia. Because oil palm trees are viewed as a cash crop by governments with large foreign debts or struggling economies, many governments are encouraging the growth of palm plantations in order to increase the country’s income and reduce its debt. The expectation is that plantations will double in acreage within 20 years, primarily in West Africa, South America and South East Asia. Some countries, such as Malaysia, are already running out of expansion room. </w:t>
      </w:r>
    </w:p>
    <w:p w14:paraId="1B5856D1"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 xml:space="preserve">Impact of Palm Plantations. </w:t>
      </w:r>
      <w:r w:rsidRPr="00386EC8">
        <w:rPr>
          <w:rFonts w:ascii="&amp;quot" w:eastAsia="Times New Roman" w:hAnsi="&amp;quot" w:cs="Times New Roman"/>
          <w:color w:val="111111"/>
          <w:sz w:val="24"/>
          <w:szCs w:val="24"/>
          <w:bdr w:val="none" w:sz="0" w:space="0" w:color="auto" w:frame="1"/>
        </w:rPr>
        <w:t xml:space="preserve">People living in oil palm plantation areas have felt the impact of the industry in numerous ways. First, many </w:t>
      </w:r>
      <w:r w:rsidRPr="00386EC8">
        <w:rPr>
          <w:rFonts w:ascii="&amp;quot" w:eastAsia="Times New Roman" w:hAnsi="&amp;quot" w:cs="Times New Roman"/>
          <w:b/>
          <w:bCs/>
          <w:color w:val="111111"/>
          <w:sz w:val="24"/>
          <w:szCs w:val="24"/>
          <w:bdr w:val="none" w:sz="0" w:space="0" w:color="auto" w:frame="1"/>
        </w:rPr>
        <w:t>environmental</w:t>
      </w:r>
      <w:r w:rsidRPr="00386EC8">
        <w:rPr>
          <w:rFonts w:ascii="&amp;quot" w:eastAsia="Times New Roman" w:hAnsi="&amp;quot" w:cs="Times New Roman"/>
          <w:color w:val="111111"/>
          <w:sz w:val="24"/>
          <w:szCs w:val="24"/>
          <w:bdr w:val="none" w:sz="0" w:space="0" w:color="auto" w:frame="1"/>
        </w:rPr>
        <w:t xml:space="preserve"> influences have directly affected the local people. The environments that support palm plantations typically support rainforests as well. In many countries, rainforests have been converted into palm plantations. The impact of such forest conversion includes a rise in pests, changes in the flow of ground surface water, increased land erosion, and pollution of rivers and drinking water due to the use of fertilizers and pesticides. Second, </w:t>
      </w:r>
      <w:r w:rsidRPr="00386EC8">
        <w:rPr>
          <w:rFonts w:ascii="&amp;quot" w:eastAsia="Times New Roman" w:hAnsi="&amp;quot" w:cs="Times New Roman"/>
          <w:b/>
          <w:bCs/>
          <w:color w:val="111111"/>
          <w:sz w:val="24"/>
          <w:szCs w:val="24"/>
          <w:bdr w:val="none" w:sz="0" w:space="0" w:color="auto" w:frame="1"/>
        </w:rPr>
        <w:t xml:space="preserve">social issues </w:t>
      </w:r>
      <w:r w:rsidRPr="00386EC8">
        <w:rPr>
          <w:rFonts w:ascii="&amp;quot" w:eastAsia="Times New Roman" w:hAnsi="&amp;quot" w:cs="Times New Roman"/>
          <w:color w:val="111111"/>
          <w:sz w:val="24"/>
          <w:szCs w:val="24"/>
          <w:bdr w:val="none" w:sz="0" w:space="0" w:color="auto" w:frame="1"/>
        </w:rPr>
        <w:t xml:space="preserve">such as indigenous people involuntarily relocated to make room for plantations. Additionally, widespread use of indigenous people in forced labor with no pay. Finally, the local people have been impacted </w:t>
      </w:r>
      <w:r w:rsidRPr="00386EC8">
        <w:rPr>
          <w:rFonts w:ascii="&amp;quot" w:eastAsia="Times New Roman" w:hAnsi="&amp;quot" w:cs="Times New Roman"/>
          <w:b/>
          <w:bCs/>
          <w:color w:val="111111"/>
          <w:sz w:val="24"/>
          <w:szCs w:val="24"/>
          <w:bdr w:val="none" w:sz="0" w:space="0" w:color="auto" w:frame="1"/>
        </w:rPr>
        <w:t>economically</w:t>
      </w:r>
      <w:r w:rsidRPr="00386EC8">
        <w:rPr>
          <w:rFonts w:ascii="&amp;quot" w:eastAsia="Times New Roman" w:hAnsi="&amp;quot" w:cs="Times New Roman"/>
          <w:color w:val="111111"/>
          <w:sz w:val="24"/>
          <w:szCs w:val="24"/>
          <w:bdr w:val="none" w:sz="0" w:space="0" w:color="auto" w:frame="1"/>
        </w:rPr>
        <w:t>. Wages for palm plantation workers are notoriously low, typically being determined by several factors: world prices for palm oil, weather, size of the fruit, and yields. Additionally, large nonlocal companies are noted for failing to promote the local economy.</w:t>
      </w:r>
    </w:p>
    <w:p w14:paraId="27075E9A"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 xml:space="preserve">Unilever’s Sustainability Development. </w:t>
      </w:r>
      <w:r w:rsidRPr="00386EC8">
        <w:rPr>
          <w:rFonts w:ascii="&amp;quot" w:eastAsia="Times New Roman" w:hAnsi="&amp;quot" w:cs="Times New Roman"/>
          <w:color w:val="111111"/>
          <w:sz w:val="24"/>
          <w:szCs w:val="24"/>
          <w:bdr w:val="none" w:sz="0" w:space="0" w:color="auto" w:frame="1"/>
        </w:rPr>
        <w:t>In 1995, Unilever commissioned two studies on sustainable development. The studies revealed a complex set of criteria for sustainable agriculture. From these criteria, a Sustainable Agriculture Mission Statement was formally adopted in 1998, which included the following principles:</w:t>
      </w:r>
    </w:p>
    <w:p w14:paraId="60C50925"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Output must be high enough to meet demand.</w:t>
      </w:r>
    </w:p>
    <w:p w14:paraId="01FCAA0F"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Negative environmental impacts on soil, air, water, and biodiversity must be minimized.</w:t>
      </w:r>
    </w:p>
    <w:p w14:paraId="5514BE37"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Quality and safety of products must be guaranteed.</w:t>
      </w:r>
    </w:p>
    <w:p w14:paraId="17D229BD"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Changing consumer demands must be met.</w:t>
      </w:r>
    </w:p>
    <w:p w14:paraId="7497F566"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Profitability must be competitive with other industry sectors.</w:t>
      </w:r>
    </w:p>
    <w:p w14:paraId="04AE3DAC" w14:textId="77777777" w:rsidR="00386EC8" w:rsidRPr="00386EC8" w:rsidRDefault="00386EC8" w:rsidP="00386EC8">
      <w:pPr>
        <w:numPr>
          <w:ilvl w:val="0"/>
          <w:numId w:val="13"/>
        </w:num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Agriculture must offer an attractive livelihood to workers (Vis &amp; Standish, 2000).</w:t>
      </w:r>
    </w:p>
    <w:p w14:paraId="2B80AD74"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Unilever’s Sustainable Development plan has led to several honors. Dow Jones ranked Unilever number four on its sustainability index and </w:t>
      </w:r>
      <w:r w:rsidRPr="00386EC8">
        <w:rPr>
          <w:rFonts w:ascii="&amp;quot" w:eastAsia="Times New Roman" w:hAnsi="&amp;quot" w:cs="Times New Roman"/>
          <w:i/>
          <w:iCs/>
          <w:color w:val="111111"/>
          <w:sz w:val="24"/>
          <w:szCs w:val="24"/>
          <w:bdr w:val="none" w:sz="0" w:space="0" w:color="auto" w:frame="1"/>
        </w:rPr>
        <w:t>Fortune</w:t>
      </w:r>
      <w:r w:rsidRPr="00386EC8">
        <w:rPr>
          <w:rFonts w:ascii="&amp;quot" w:eastAsia="Times New Roman" w:hAnsi="&amp;quot" w:cs="Times New Roman"/>
          <w:color w:val="111111"/>
          <w:sz w:val="24"/>
          <w:szCs w:val="24"/>
          <w:bdr w:val="none" w:sz="0" w:space="0" w:color="auto" w:frame="1"/>
        </w:rPr>
        <w:t xml:space="preserve"> magazine listed Unilever among Fortune’s 50 World’s Global Most Admired Companies.</w:t>
      </w:r>
    </w:p>
    <w:p w14:paraId="028AF6F0"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Sustainable Agriculture Initiative</w:t>
      </w:r>
      <w:r w:rsidRPr="00386EC8">
        <w:rPr>
          <w:rFonts w:ascii="&amp;quot" w:eastAsia="Times New Roman" w:hAnsi="&amp;quot" w:cs="Times New Roman"/>
          <w:color w:val="111111"/>
          <w:sz w:val="24"/>
          <w:szCs w:val="24"/>
          <w:bdr w:val="none" w:sz="0" w:space="0" w:color="auto" w:frame="1"/>
        </w:rPr>
        <w:t xml:space="preserve">. Unilever used its Sustainable Development commitment and experience to facilitate a broader impact. They were one of the three founding companies of the Sustainable Agriculture Initiative (SAI). SAI was created to actively support the development and communication of sustainable agriculture practices worldwide. Like Unilever’s Sustainable Development plan, SAI’s initiatives target the triple bottom line—economics, environment, and society. </w:t>
      </w:r>
    </w:p>
    <w:p w14:paraId="283006B8"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lastRenderedPageBreak/>
        <w:t xml:space="preserve">Implementation of the Sustainable Development Plan. </w:t>
      </w:r>
      <w:r w:rsidRPr="00386EC8">
        <w:rPr>
          <w:rFonts w:ascii="&amp;quot" w:eastAsia="Times New Roman" w:hAnsi="&amp;quot" w:cs="Times New Roman"/>
          <w:color w:val="111111"/>
          <w:sz w:val="24"/>
          <w:szCs w:val="24"/>
          <w:bdr w:val="none" w:sz="0" w:space="0" w:color="auto" w:frame="1"/>
        </w:rPr>
        <w:t>Unilever introduced pilot projects to test its sustainable development plan. It employed five sustainable practices. Additionally, Unilver undertook numerous social programs in numerous countries. Unilever was awarded the top ranking in the 2015 Sustainability Leaders survey for the fifth consecutive year. In March 2015, Unilever received a 71% score (only the world’s largest food and beverage companies receive a score) for its agricultural sourcing policies.</w:t>
      </w:r>
    </w:p>
    <w:p w14:paraId="557E76CB"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Unilever’s Current Involvement in Palm Oil</w:t>
      </w:r>
      <w:r w:rsidRPr="00386EC8">
        <w:rPr>
          <w:rFonts w:ascii="&amp;quot" w:eastAsia="Times New Roman" w:hAnsi="&amp;quot" w:cs="Times New Roman"/>
          <w:color w:val="111111"/>
          <w:sz w:val="24"/>
          <w:szCs w:val="24"/>
          <w:bdr w:val="none" w:sz="0" w:space="0" w:color="auto" w:frame="1"/>
        </w:rPr>
        <w:t>. Unilever’s Current Involvement in Palm Oil includes:</w:t>
      </w:r>
    </w:p>
    <w:p w14:paraId="6FA03232"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Divesting of Plantations.</w:t>
      </w:r>
      <w:r w:rsidRPr="00386EC8">
        <w:rPr>
          <w:rFonts w:ascii="&amp;quot" w:eastAsia="Times New Roman" w:hAnsi="&amp;quot" w:cs="Times New Roman"/>
          <w:color w:val="111111"/>
          <w:sz w:val="24"/>
          <w:szCs w:val="24"/>
          <w:bdr w:val="none" w:sz="0" w:space="0" w:color="auto" w:frame="1"/>
        </w:rPr>
        <w:t xml:space="preserve"> Unilever has undertaken a refocusing of its business, with the intention of focusing solely on promoting its core brands. As a result, the company is divesting all non-core businesses, such as its oil palm plantations. </w:t>
      </w:r>
    </w:p>
    <w:p w14:paraId="6FB289F1"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i/>
          <w:iCs/>
          <w:color w:val="111111"/>
          <w:sz w:val="24"/>
          <w:szCs w:val="24"/>
          <w:bdr w:val="none" w:sz="0" w:space="0" w:color="auto" w:frame="1"/>
        </w:rPr>
        <w:t>Helping Ghana Grow Oil Palm Plantations</w:t>
      </w:r>
      <w:r w:rsidRPr="00386EC8">
        <w:rPr>
          <w:rFonts w:ascii="&amp;quot" w:eastAsia="Times New Roman" w:hAnsi="&amp;quot" w:cs="Times New Roman"/>
          <w:color w:val="111111"/>
          <w:sz w:val="24"/>
          <w:szCs w:val="24"/>
          <w:bdr w:val="none" w:sz="0" w:space="0" w:color="auto" w:frame="1"/>
        </w:rPr>
        <w:t xml:space="preserve">. Unilever has a longstanding relationship with Ghana, investing in the country’s economy and the skills of its employees. Unilever has also been active with numerous community activities through organizations such as the Unilever Ghana Foundation for Education and Development. The foundation, which launched in 1999, contributes to education to help Ghana reach its goal of being a middle-income economy by 2020. In addition to the foundation, Unilever recently pledged its expertise to help the Ghana government implement its oil palm tree initiative. </w:t>
      </w:r>
    </w:p>
    <w:p w14:paraId="2F62E467"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In 2012, Unilever announced the launch of the Unilever Foundation, created to improve the quality of life through changes in hygiene, sanitation, access to clean drinking water, basic nutrition, and enhanced self-esteem.</w:t>
      </w:r>
    </w:p>
    <w:p w14:paraId="7FE11503"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i/>
          <w:iCs/>
          <w:color w:val="111111"/>
          <w:sz w:val="24"/>
          <w:szCs w:val="24"/>
          <w:bdr w:val="none" w:sz="0" w:space="0" w:color="auto" w:frame="1"/>
        </w:rPr>
        <w:t> </w:t>
      </w:r>
    </w:p>
    <w:p w14:paraId="78F00CDF"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i/>
          <w:iCs/>
          <w:color w:val="111111"/>
          <w:sz w:val="24"/>
          <w:szCs w:val="24"/>
          <w:bdr w:val="none" w:sz="0" w:space="0" w:color="auto" w:frame="1"/>
        </w:rPr>
        <w:t> </w:t>
      </w:r>
    </w:p>
    <w:p w14:paraId="2C2ABFB9"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Questions for Discussion and Further Analysis</w:t>
      </w:r>
    </w:p>
    <w:p w14:paraId="7F09E7A8"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1. What was Unilever’s motivation to undertake such ambitious programs for sustainability development?</w:t>
      </w:r>
    </w:p>
    <w:p w14:paraId="3A0914DD"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2 What can Unilever do to improve the wages and living conditions of the oil palm workers worldwide? What impact would such actions have on the triple bottom line of Unilever’s Sustainable Development plan?</w:t>
      </w:r>
    </w:p>
    <w:p w14:paraId="09722D71"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3. How can Unilever use its influence over the government of Ghana to improve worldwide conditions? Should Unilever encourage or discourage Ghana from entering the oil palm industry? </w:t>
      </w:r>
    </w:p>
    <w:p w14:paraId="7C4602A4"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4. What are the impacts of Unilever’s divesting of oil palm plantations? Will Unilever still have influence over the triple bottom line of the oil palm industry? Why or why not?</w:t>
      </w:r>
    </w:p>
    <w:p w14:paraId="24E04F6E" w14:textId="77777777" w:rsidR="00386EC8" w:rsidRPr="00386EC8" w:rsidRDefault="00386EC8" w:rsidP="00386EC8">
      <w:pPr>
        <w:spacing w:after="0" w:line="240" w:lineRule="auto"/>
        <w:rPr>
          <w:rFonts w:ascii="inherit" w:eastAsia="Times New Roman" w:hAnsi="inherit" w:cs="Times New Roman"/>
          <w:color w:val="111111"/>
          <w:sz w:val="24"/>
          <w:szCs w:val="24"/>
        </w:rPr>
      </w:pPr>
      <w:r w:rsidRPr="00386EC8">
        <w:rPr>
          <w:rFonts w:ascii="&amp;quot" w:eastAsia="Times New Roman" w:hAnsi="&amp;quot" w:cs="Times New Roman"/>
          <w:b/>
          <w:bCs/>
          <w:color w:val="111111"/>
          <w:sz w:val="24"/>
          <w:szCs w:val="24"/>
          <w:bdr w:val="none" w:sz="0" w:space="0" w:color="auto" w:frame="1"/>
        </w:rPr>
        <w:t>Summary and Conclusion</w:t>
      </w:r>
    </w:p>
    <w:p w14:paraId="4C54008F" w14:textId="77777777" w:rsidR="00386EC8" w:rsidRPr="00386EC8" w:rsidRDefault="00386EC8" w:rsidP="00386EC8">
      <w:pPr>
        <w:spacing w:after="0" w:line="240" w:lineRule="auto"/>
        <w:ind w:right="12"/>
        <w:jc w:val="both"/>
        <w:rPr>
          <w:rFonts w:ascii="inherit" w:eastAsia="Times New Roman" w:hAnsi="inherit" w:cs="Times New Roman"/>
          <w:color w:val="111111"/>
          <w:sz w:val="24"/>
          <w:szCs w:val="24"/>
        </w:rPr>
      </w:pPr>
      <w:r w:rsidRPr="00386EC8">
        <w:rPr>
          <w:rFonts w:ascii="&amp;quot" w:eastAsia="Times New Roman" w:hAnsi="&amp;quot" w:cs="Times New Roman"/>
          <w:color w:val="111111"/>
          <w:sz w:val="24"/>
          <w:szCs w:val="24"/>
          <w:bdr w:val="none" w:sz="0" w:space="0" w:color="auto" w:frame="1"/>
        </w:rPr>
        <w:t xml:space="preserve">This chapter describes the second level of the inclusive workplace, </w:t>
      </w:r>
      <w:r w:rsidRPr="00386EC8">
        <w:rPr>
          <w:rFonts w:ascii="&amp;quot" w:eastAsia="Times New Roman" w:hAnsi="&amp;quot" w:cs="Times New Roman"/>
          <w:i/>
          <w:iCs/>
          <w:color w:val="111111"/>
          <w:sz w:val="24"/>
          <w:szCs w:val="24"/>
          <w:bdr w:val="none" w:sz="0" w:space="0" w:color="auto" w:frame="1"/>
        </w:rPr>
        <w:t>inclusion and corporate-community collaborations</w:t>
      </w:r>
      <w:r w:rsidRPr="00386EC8">
        <w:rPr>
          <w:rFonts w:ascii="&amp;quot" w:eastAsia="Times New Roman" w:hAnsi="&amp;quot" w:cs="Times New Roman"/>
          <w:color w:val="111111"/>
          <w:sz w:val="24"/>
          <w:szCs w:val="24"/>
          <w:bdr w:val="none" w:sz="0" w:space="0" w:color="auto" w:frame="1"/>
        </w:rPr>
        <w:t xml:space="preserve">, which relates to the organization’s sense of being a part of its surrounding community and to the reciprocity embedded in this relationship. Relevant to level II of the inclusive workplace model is the term CSP, an emerging construct in the business literature that expands a company’s responsibilities beyond its traditional economic shareholders to that of multiple stakeholders, including the community. A wide range of activities falls under the title of CSP, such as supporting educational or cultural institutions in the community, providing mentorship to youth, or tutoring children in local schools. The main obstacles in initiating and maintaining activities that benefit the company’s social environment are economic pressures to demonstrate profitability on a short-term basis, limited corporate vision, and lack of leaders who could champion and </w:t>
      </w:r>
      <w:r w:rsidRPr="00386EC8">
        <w:rPr>
          <w:rFonts w:ascii="&amp;quot" w:eastAsia="Times New Roman" w:hAnsi="&amp;quot" w:cs="Times New Roman"/>
          <w:color w:val="111111"/>
          <w:sz w:val="24"/>
          <w:szCs w:val="24"/>
          <w:bdr w:val="none" w:sz="0" w:space="0" w:color="auto" w:frame="1"/>
        </w:rPr>
        <w:lastRenderedPageBreak/>
        <w:t xml:space="preserve">sustain such initiatives. The benefits include advantages in recruitment, goodwill from employees and customers alike, and improved corporate image. </w:t>
      </w:r>
    </w:p>
    <w:p w14:paraId="558925F9" w14:textId="0982A38B" w:rsidR="00607FEC" w:rsidRDefault="00607FEC">
      <w:bookmarkStart w:id="0" w:name="_GoBack"/>
      <w:bookmarkEnd w:id="0"/>
    </w:p>
    <w:p w14:paraId="73C8B60D" w14:textId="75FD1784" w:rsidR="00607FEC" w:rsidRDefault="00607FEC"/>
    <w:p w14:paraId="097C1A78" w14:textId="77777777" w:rsidR="00607FEC" w:rsidRDefault="00607FEC"/>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6E62681"/>
    <w:multiLevelType w:val="multilevel"/>
    <w:tmpl w:val="BF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4"/>
  </w:num>
  <w:num w:numId="3">
    <w:abstractNumId w:val="7"/>
  </w:num>
  <w:num w:numId="4">
    <w:abstractNumId w:val="5"/>
  </w:num>
  <w:num w:numId="5">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5"/>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2"/>
  </w:num>
  <w:num w:numId="11">
    <w:abstractNumId w:val="1"/>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386EC8"/>
    <w:rsid w:val="004A6F8B"/>
    <w:rsid w:val="004E1FB2"/>
    <w:rsid w:val="00584E15"/>
    <w:rsid w:val="005A33F1"/>
    <w:rsid w:val="00607FEC"/>
    <w:rsid w:val="00681F3A"/>
    <w:rsid w:val="006845CF"/>
    <w:rsid w:val="00814FFD"/>
    <w:rsid w:val="009A6BED"/>
    <w:rsid w:val="00A8360D"/>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796098032">
      <w:bodyDiv w:val="1"/>
      <w:marLeft w:val="0"/>
      <w:marRight w:val="0"/>
      <w:marTop w:val="0"/>
      <w:marBottom w:val="0"/>
      <w:divBdr>
        <w:top w:val="none" w:sz="0" w:space="0" w:color="auto"/>
        <w:left w:val="none" w:sz="0" w:space="0" w:color="auto"/>
        <w:bottom w:val="none" w:sz="0" w:space="0" w:color="auto"/>
        <w:right w:val="none" w:sz="0" w:space="0" w:color="auto"/>
      </w:divBdr>
      <w:divsChild>
        <w:div w:id="1831213314">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2030</Words>
  <Characters>11574</Characters>
  <Application>Microsoft Office Word</Application>
  <DocSecurity>0</DocSecurity>
  <Lines>96</Lines>
  <Paragraphs>27</Paragraphs>
  <ScaleCrop>false</ScaleCrop>
  <Company/>
  <LinksUpToDate>false</LinksUpToDate>
  <CharactersWithSpaces>13577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2020-04-09T08:50:00Z</dcterms:created>
  <dcterms:modified xsi:type="dcterms:W3CDTF">2020-04-09T08:50:00Z</dcterms:modified>
</cp:coreProperties>
</file>